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monday.com fue nombrado Líder en el Magic Quadrant™ de Gartner® de 2024, el único proveedor de gestión del trabajo reconocido como Líder en tres informes Magic Quadrant</w:t>
      </w:r>
    </w:p>
    <w:p w:rsidR="00000000" w:rsidDel="00000000" w:rsidP="00000000" w:rsidRDefault="00000000" w:rsidRPr="00000000" w14:paraId="00000002">
      <w:pPr>
        <w:jc w:val="center"/>
        <w:rPr>
          <w:b w:val="1"/>
          <w:sz w:val="20"/>
          <w:szCs w:val="20"/>
        </w:rPr>
      </w:pPr>
      <w:r w:rsidDel="00000000" w:rsidR="00000000" w:rsidRPr="00000000">
        <w:rPr>
          <w:rtl w:val="0"/>
        </w:rPr>
      </w:r>
    </w:p>
    <w:p w:rsidR="00000000" w:rsidDel="00000000" w:rsidP="00000000" w:rsidRDefault="00000000" w:rsidRPr="00000000" w14:paraId="00000003">
      <w:pPr>
        <w:jc w:val="center"/>
        <w:rPr>
          <w:i w:val="1"/>
          <w:sz w:val="20"/>
          <w:szCs w:val="20"/>
        </w:rPr>
      </w:pPr>
      <w:r w:rsidDel="00000000" w:rsidR="00000000" w:rsidRPr="00000000">
        <w:rPr>
          <w:i w:val="1"/>
          <w:sz w:val="20"/>
          <w:szCs w:val="20"/>
          <w:rtl w:val="0"/>
        </w:rPr>
        <w:t xml:space="preserve">El informe sobre plataformas de gestión del trabajo de marketing menciona su interfaz fácil de usar, sus sólidas funciones de automatización y su avanzada infraestructura de datos como factores que la han hecho merecedora de este nombramiento.</w:t>
      </w:r>
    </w:p>
    <w:p w:rsidR="00000000" w:rsidDel="00000000" w:rsidP="00000000" w:rsidRDefault="00000000" w:rsidRPr="00000000" w14:paraId="00000004">
      <w:pPr>
        <w:jc w:val="center"/>
        <w:rPr>
          <w:i w:val="1"/>
          <w:sz w:val="20"/>
          <w:szCs w:val="20"/>
        </w:rPr>
      </w:pPr>
      <w:r w:rsidDel="00000000" w:rsidR="00000000" w:rsidRPr="00000000">
        <w:rPr>
          <w:rtl w:val="0"/>
        </w:rPr>
      </w:r>
    </w:p>
    <w:p w:rsidR="00000000" w:rsidDel="00000000" w:rsidP="00000000" w:rsidRDefault="00000000" w:rsidRPr="00000000" w14:paraId="00000005">
      <w:pPr>
        <w:rPr>
          <w:sz w:val="20"/>
          <w:szCs w:val="20"/>
        </w:rPr>
      </w:pPr>
      <w:r w:rsidDel="00000000" w:rsidR="00000000" w:rsidRPr="00000000">
        <w:rPr>
          <w:b w:val="1"/>
          <w:sz w:val="20"/>
          <w:szCs w:val="20"/>
          <w:rtl w:val="0"/>
        </w:rPr>
        <w:t xml:space="preserve">NUEVA YORK y TEL AVIV – 23 de diciembre de 2024</w:t>
      </w:r>
      <w:r w:rsidDel="00000000" w:rsidR="00000000" w:rsidRPr="00000000">
        <w:rPr>
          <w:sz w:val="20"/>
          <w:szCs w:val="20"/>
          <w:rtl w:val="0"/>
        </w:rPr>
        <w:t xml:space="preserve"> – </w:t>
      </w:r>
      <w:hyperlink r:id="rId6">
        <w:r w:rsidDel="00000000" w:rsidR="00000000" w:rsidRPr="00000000">
          <w:rPr>
            <w:color w:val="1155cc"/>
            <w:sz w:val="20"/>
            <w:szCs w:val="20"/>
            <w:u w:val="single"/>
            <w:rtl w:val="0"/>
          </w:rPr>
          <w:t xml:space="preserve">monday.com Ltd</w:t>
        </w:r>
      </w:hyperlink>
      <w:r w:rsidDel="00000000" w:rsidR="00000000" w:rsidRPr="00000000">
        <w:rPr>
          <w:sz w:val="20"/>
          <w:szCs w:val="20"/>
          <w:rtl w:val="0"/>
        </w:rPr>
        <w:t xml:space="preserve">. (NASDAQ: MNDY) (“monday.com”), la plataforma multiproducto que ejecuta todos los aspectos básicos del trabajo, anunció hoy que fue nombrada Líder en el Magic Quadrant™ de Gartner® de 2024 para plataformas de gestión del trabajo de marketing (MWMP). Este reconocimiento marca un hito importante para monday.com, ya que es la única plataforma de gestión del trabajo que ha sido nombrada Líder en tres informes Magic Quadrant™ de Gartner®.</w:t>
      </w:r>
    </w:p>
    <w:p w:rsidR="00000000" w:rsidDel="00000000" w:rsidP="00000000" w:rsidRDefault="00000000" w:rsidRPr="00000000" w14:paraId="00000006">
      <w:pPr>
        <w:rPr>
          <w:sz w:val="20"/>
          <w:szCs w:val="20"/>
        </w:rPr>
      </w:pPr>
      <w:r w:rsidDel="00000000" w:rsidR="00000000" w:rsidRPr="00000000">
        <w:rPr>
          <w:rtl w:val="0"/>
        </w:rPr>
      </w:r>
    </w:p>
    <w:p w:rsidR="00000000" w:rsidDel="00000000" w:rsidP="00000000" w:rsidRDefault="00000000" w:rsidRPr="00000000" w14:paraId="00000007">
      <w:pPr>
        <w:rPr>
          <w:sz w:val="20"/>
          <w:szCs w:val="20"/>
        </w:rPr>
      </w:pPr>
      <w:r w:rsidDel="00000000" w:rsidR="00000000" w:rsidRPr="00000000">
        <w:rPr>
          <w:sz w:val="20"/>
          <w:szCs w:val="20"/>
          <w:rtl w:val="0"/>
        </w:rPr>
        <w:t xml:space="preserve">En septiembre, la empresa fue reconocida como </w:t>
      </w:r>
      <w:hyperlink r:id="rId7">
        <w:r w:rsidDel="00000000" w:rsidR="00000000" w:rsidRPr="00000000">
          <w:rPr>
            <w:color w:val="1155cc"/>
            <w:sz w:val="20"/>
            <w:szCs w:val="20"/>
            <w:u w:val="single"/>
            <w:rtl w:val="0"/>
          </w:rPr>
          <w:t xml:space="preserve">Líder en el Magic Quadrant™ de Gartner® de 2024 para la gestión de proyectos adaptativa y la generación de informes</w:t>
        </w:r>
      </w:hyperlink>
      <w:r w:rsidDel="00000000" w:rsidR="00000000" w:rsidRPr="00000000">
        <w:rPr>
          <w:sz w:val="20"/>
          <w:szCs w:val="20"/>
          <w:rtl w:val="0"/>
        </w:rPr>
        <w:t xml:space="preserve"> (APMR) por tercera vez, además de su reconocimiento en el mes de diciembre como </w:t>
      </w:r>
      <w:hyperlink r:id="rId8">
        <w:r w:rsidDel="00000000" w:rsidR="00000000" w:rsidRPr="00000000">
          <w:rPr>
            <w:color w:val="1155cc"/>
            <w:sz w:val="20"/>
            <w:szCs w:val="20"/>
            <w:u w:val="single"/>
            <w:rtl w:val="0"/>
          </w:rPr>
          <w:t xml:space="preserve">Líder en el Magic Quadrant™ de Gartner® de 2024 para la gestión colaborativa del trabajo</w:t>
        </w:r>
      </w:hyperlink>
      <w:r w:rsidDel="00000000" w:rsidR="00000000" w:rsidRPr="00000000">
        <w:rPr>
          <w:sz w:val="20"/>
          <w:szCs w:val="20"/>
          <w:rtl w:val="0"/>
        </w:rPr>
        <w:t xml:space="preserve"> (CWM) por segunda vez.</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rPr>
          <w:sz w:val="20"/>
          <w:szCs w:val="20"/>
        </w:rPr>
      </w:pPr>
      <w:r w:rsidDel="00000000" w:rsidR="00000000" w:rsidRPr="00000000">
        <w:rPr>
          <w:sz w:val="20"/>
          <w:szCs w:val="20"/>
          <w:rtl w:val="0"/>
        </w:rPr>
        <w:t xml:space="preserve">“Estamos encantados de que Gartner nos reconozca como Líder para plataformas de gestión del trabajo de marketing, lo que representa nuestro tercer reconocimiento este año. Creemos que esto pone en evidencia nuestro compromiso para fomentar la innovación y ofrecer una plataforma que satisfaga las necesidades cambiantes de nuestros clientes y supere sus expectativas”, declaró Daniel Lereya, director de Producto y Tecnología de monday.com. “Seguimos centrados en mejorar aún más nuestras soluciones intuitivas y flexibles, empoderando a los equipos para mejorar la eficiencia, aumentar la productividad y gestionar sin esfuerzo sus flujos de trabajo. A medida que integramos aún más las funciones de IA de vanguardia en nuestra plataforma, nuestro objetivo es automatizar las tareas rutinarias y ofrecer información procesable que permita a nuestros clientes seguir siendo competitivos en un panorama en constante cambio”.</w:t>
      </w:r>
    </w:p>
    <w:p w:rsidR="00000000" w:rsidDel="00000000" w:rsidP="00000000" w:rsidRDefault="00000000" w:rsidRPr="00000000" w14:paraId="0000000A">
      <w:pPr>
        <w:rPr>
          <w:sz w:val="20"/>
          <w:szCs w:val="20"/>
        </w:rPr>
      </w:pPr>
      <w:r w:rsidDel="00000000" w:rsidR="00000000" w:rsidRPr="00000000">
        <w:rPr>
          <w:rtl w:val="0"/>
        </w:rPr>
      </w:r>
    </w:p>
    <w:p w:rsidR="00000000" w:rsidDel="00000000" w:rsidP="00000000" w:rsidRDefault="00000000" w:rsidRPr="00000000" w14:paraId="0000000B">
      <w:pPr>
        <w:rPr>
          <w:sz w:val="20"/>
          <w:szCs w:val="20"/>
        </w:rPr>
      </w:pPr>
      <w:r w:rsidDel="00000000" w:rsidR="00000000" w:rsidRPr="00000000">
        <w:rPr>
          <w:sz w:val="20"/>
          <w:szCs w:val="20"/>
          <w:rtl w:val="0"/>
        </w:rPr>
        <w:t xml:space="preserve">monday.com cree que los equipos de marketing están adoptando cada vez más su plataforma de gestión del trabajo gracias a sus sólidas funciones que impulsan la productividad y optimizan las operaciones. Promueve la gestión colaborativa del trabajo, lo que permite una comunicación y coordinación eficaces del equipo. Además, monday.com centraliza todo el trabajo en un solo lugar, lo que permite a los equipos realizar un seguimiento y una ejecución eficaces de las campañas mediante la optimización, desde el concepto hasta la planificación y la ejecución, al tiempo que mejora la visibilidad de los gestores y líderes sobre el estado de los proyectos, los plazos y los presupuestos. Gracias a las automatizaciones y los flujos de trabajo personalizables, la plataforma minimiza las tareas manuales y fomenta una cultura de transparencia y responsabilidad, que permite a los equipos concentrarse en iniciativas estratégicas en lugar del trabajo administrativo rutinario.</w:t>
      </w:r>
    </w:p>
    <w:p w:rsidR="00000000" w:rsidDel="00000000" w:rsidP="00000000" w:rsidRDefault="00000000" w:rsidRPr="00000000" w14:paraId="0000000C">
      <w:pPr>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sz w:val="20"/>
          <w:szCs w:val="20"/>
          <w:rtl w:val="0"/>
        </w:rPr>
        <w:t xml:space="preserve">Los informes Magic Quadrant™ de Gartner® son la culminación de una investigación rigurosa y basada en hechos en mercados específicos, y proporcionan una visión general de las posiciones relativas de los proveedores en mercados donde el crecimiento es elevado y su diferenciación es clara. Las evaluaciones se basan en criterios específicos que analizan la capacidad general de ejecución y la visión integral de una empresa.</w:t>
      </w:r>
    </w:p>
    <w:p w:rsidR="00000000" w:rsidDel="00000000" w:rsidP="00000000" w:rsidRDefault="00000000" w:rsidRPr="00000000" w14:paraId="0000000E">
      <w:pPr>
        <w:rPr>
          <w:sz w:val="20"/>
          <w:szCs w:val="20"/>
        </w:rPr>
      </w:pPr>
      <w:r w:rsidDel="00000000" w:rsidR="00000000" w:rsidRPr="00000000">
        <w:rPr>
          <w:rtl w:val="0"/>
        </w:rPr>
      </w:r>
    </w:p>
    <w:p w:rsidR="00000000" w:rsidDel="00000000" w:rsidP="00000000" w:rsidRDefault="00000000" w:rsidRPr="00000000" w14:paraId="0000000F">
      <w:pPr>
        <w:rPr>
          <w:sz w:val="20"/>
          <w:szCs w:val="20"/>
        </w:rPr>
      </w:pPr>
      <w:r w:rsidDel="00000000" w:rsidR="00000000" w:rsidRPr="00000000">
        <w:rPr>
          <w:sz w:val="20"/>
          <w:szCs w:val="20"/>
          <w:rtl w:val="0"/>
        </w:rPr>
        <w:t xml:space="preserve">Haz clic </w:t>
      </w:r>
      <w:hyperlink r:id="rId9">
        <w:r w:rsidDel="00000000" w:rsidR="00000000" w:rsidRPr="00000000">
          <w:rPr>
            <w:color w:val="1155cc"/>
            <w:sz w:val="20"/>
            <w:szCs w:val="20"/>
            <w:u w:val="single"/>
            <w:rtl w:val="0"/>
          </w:rPr>
          <w:t xml:space="preserve">aquí</w:t>
        </w:r>
      </w:hyperlink>
      <w:r w:rsidDel="00000000" w:rsidR="00000000" w:rsidRPr="00000000">
        <w:rPr>
          <w:sz w:val="20"/>
          <w:szCs w:val="20"/>
          <w:rtl w:val="0"/>
        </w:rPr>
        <w:t xml:space="preserve"> para más información sobre el reconocimiento de monday como Líder.</w:t>
      </w:r>
    </w:p>
    <w:p w:rsidR="00000000" w:rsidDel="00000000" w:rsidP="00000000" w:rsidRDefault="00000000" w:rsidRPr="00000000" w14:paraId="00000010">
      <w:pPr>
        <w:shd w:fill="fefefe" w:val="clear"/>
        <w:spacing w:after="320" w:lineRule="auto"/>
        <w:rPr>
          <w:b w:val="1"/>
          <w:sz w:val="20"/>
          <w:szCs w:val="20"/>
        </w:rPr>
      </w:pPr>
      <w:r w:rsidDel="00000000" w:rsidR="00000000" w:rsidRPr="00000000">
        <w:rPr>
          <w:rtl w:val="0"/>
        </w:rPr>
      </w:r>
    </w:p>
    <w:p w:rsidR="00000000" w:rsidDel="00000000" w:rsidP="00000000" w:rsidRDefault="00000000" w:rsidRPr="00000000" w14:paraId="00000011">
      <w:pPr>
        <w:shd w:fill="fefefe" w:val="clear"/>
        <w:spacing w:after="320" w:lineRule="auto"/>
        <w:rPr>
          <w:b w:val="1"/>
          <w:sz w:val="20"/>
          <w:szCs w:val="20"/>
        </w:rPr>
      </w:pPr>
      <w:r w:rsidDel="00000000" w:rsidR="00000000" w:rsidRPr="00000000">
        <w:rPr>
          <w:b w:val="1"/>
          <w:sz w:val="20"/>
          <w:szCs w:val="20"/>
          <w:rtl w:val="0"/>
        </w:rPr>
        <w:t xml:space="preserve">Cláusula de exención de responsabilidad de Gartner:</w:t>
      </w:r>
    </w:p>
    <w:p w:rsidR="00000000" w:rsidDel="00000000" w:rsidP="00000000" w:rsidRDefault="00000000" w:rsidRPr="00000000" w14:paraId="00000012">
      <w:pPr>
        <w:shd w:fill="fefefe" w:val="clear"/>
        <w:spacing w:after="320" w:lineRule="auto"/>
        <w:rPr>
          <w:sz w:val="20"/>
          <w:szCs w:val="20"/>
        </w:rPr>
      </w:pPr>
      <w:r w:rsidDel="00000000" w:rsidR="00000000" w:rsidRPr="00000000">
        <w:rPr>
          <w:sz w:val="20"/>
          <w:szCs w:val="20"/>
          <w:rtl w:val="0"/>
        </w:rPr>
        <w:t xml:space="preserve">Gartner, Magic Quadrant para plataformas de gestión del trabajo de marketing, por Michael McCune, Lacretia Marsh, Kate Fridley, Amy Jenkins, Rachel Smith, 17 de diciembre de 2024</w:t>
      </w:r>
    </w:p>
    <w:p w:rsidR="00000000" w:rsidDel="00000000" w:rsidP="00000000" w:rsidRDefault="00000000" w:rsidRPr="00000000" w14:paraId="00000013">
      <w:pPr>
        <w:shd w:fill="fefefe" w:val="clear"/>
        <w:spacing w:after="320" w:lineRule="auto"/>
        <w:rPr>
          <w:sz w:val="20"/>
          <w:szCs w:val="20"/>
        </w:rPr>
      </w:pPr>
      <w:r w:rsidDel="00000000" w:rsidR="00000000" w:rsidRPr="00000000">
        <w:rPr>
          <w:sz w:val="20"/>
          <w:szCs w:val="20"/>
          <w:rtl w:val="0"/>
        </w:rPr>
        <w:t xml:space="preserve">Gartner, Magic Quadrant para la gestión colaborativa del trabajo, por Nikos Drakos, Joe Mariano, Lacy Lei, Hironori Hayashi, 2 de diciembre de 2024</w:t>
      </w:r>
    </w:p>
    <w:p w:rsidR="00000000" w:rsidDel="00000000" w:rsidP="00000000" w:rsidRDefault="00000000" w:rsidRPr="00000000" w14:paraId="00000014">
      <w:pPr>
        <w:shd w:fill="fefefe" w:val="clear"/>
        <w:spacing w:after="320" w:lineRule="auto"/>
        <w:rPr>
          <w:sz w:val="20"/>
          <w:szCs w:val="20"/>
        </w:rPr>
      </w:pPr>
      <w:r w:rsidDel="00000000" w:rsidR="00000000" w:rsidRPr="00000000">
        <w:rPr>
          <w:sz w:val="20"/>
          <w:szCs w:val="20"/>
          <w:rtl w:val="0"/>
        </w:rPr>
        <w:t xml:space="preserve">Gartner, Magic Quadrant para la gestión de proyectos adaptativa y la generación de informes, por Kevin Rose, Sean Bankston, Peter Clegg, 4 de septiembre 2024</w:t>
      </w:r>
    </w:p>
    <w:p w:rsidR="00000000" w:rsidDel="00000000" w:rsidP="00000000" w:rsidRDefault="00000000" w:rsidRPr="00000000" w14:paraId="00000015">
      <w:pPr>
        <w:shd w:fill="fefefe" w:val="clear"/>
        <w:spacing w:after="320" w:lineRule="auto"/>
        <w:rPr>
          <w:b w:val="1"/>
          <w:sz w:val="20"/>
          <w:szCs w:val="20"/>
        </w:rPr>
      </w:pPr>
      <w:r w:rsidDel="00000000" w:rsidR="00000000" w:rsidRPr="00000000">
        <w:rPr>
          <w:sz w:val="20"/>
          <w:szCs w:val="20"/>
          <w:rtl w:val="0"/>
        </w:rPr>
        <w:t xml:space="preserve">Gartner no respalda a ningún proveedor, producto o servicio descrito en nuestras publicaciones de investigación y no recomienda a los usuarios de tecnología que seleccionen solo a aquellos proveedores con las calificaciones más altas u otra designación. Las publicaciones de investigación de Gartner consisten en las opiniones de la organización de investigación Gartner y no deben interpretarse como declaraciones de hechos. Gartner renuncia a todas las garantías, expresas o implícitas, con respecto a esta investigación, incluidas las garantías de comerciabilidad o idoneidad para un propósito particular. GARTNER es una marca registrada y una marca de servicio de Gartner, Inc. o sus subsidiarias en los EE. UU. e internacionalmente, y MAGIC QUADRANT es una marca registrada de Gartner, Inc. o sus subsidiarias, y se utilizan en este documento con permiso. Todos los derechos reservados.</w:t>
      </w:r>
      <w:r w:rsidDel="00000000" w:rsidR="00000000" w:rsidRPr="00000000">
        <w:rPr>
          <w:rtl w:val="0"/>
        </w:rPr>
      </w:r>
    </w:p>
    <w:p w:rsidR="00000000" w:rsidDel="00000000" w:rsidP="00000000" w:rsidRDefault="00000000" w:rsidRPr="00000000" w14:paraId="00000016">
      <w:pPr>
        <w:jc w:val="both"/>
        <w:rPr>
          <w:b w:val="1"/>
          <w:sz w:val="20"/>
          <w:szCs w:val="20"/>
        </w:rPr>
      </w:pPr>
      <w:r w:rsidDel="00000000" w:rsidR="00000000" w:rsidRPr="00000000">
        <w:rPr>
          <w:b w:val="1"/>
          <w:sz w:val="20"/>
          <w:szCs w:val="20"/>
          <w:rtl w:val="0"/>
        </w:rPr>
        <w:t xml:space="preserve">​​Sobre monday.com</w:t>
      </w:r>
    </w:p>
    <w:p w:rsidR="00000000" w:rsidDel="00000000" w:rsidP="00000000" w:rsidRDefault="00000000" w:rsidRPr="00000000" w14:paraId="00000017">
      <w:pPr>
        <w:jc w:val="both"/>
        <w:rPr>
          <w:b w:val="1"/>
          <w:sz w:val="20"/>
          <w:szCs w:val="20"/>
        </w:rPr>
      </w:pPr>
      <w:r w:rsidDel="00000000" w:rsidR="00000000" w:rsidRPr="00000000">
        <w:rPr>
          <w:rtl w:val="0"/>
        </w:rPr>
      </w:r>
    </w:p>
    <w:p w:rsidR="00000000" w:rsidDel="00000000" w:rsidP="00000000" w:rsidRDefault="00000000" w:rsidRPr="00000000" w14:paraId="00000018">
      <w:pPr>
        <w:shd w:fill="fefefe" w:val="clear"/>
        <w:spacing w:after="320" w:lineRule="auto"/>
        <w:jc w:val="both"/>
        <w:rPr>
          <w:sz w:val="20"/>
          <w:szCs w:val="20"/>
        </w:rPr>
      </w:pPr>
      <w:r w:rsidDel="00000000" w:rsidR="00000000" w:rsidRPr="00000000">
        <w:rPr>
          <w:sz w:val="20"/>
          <w:szCs w:val="20"/>
          <w:rtl w:val="0"/>
        </w:rPr>
        <w:t xml:space="preserve">El sistema operativo de trabajo monday.com es una plataforma de código bajo/sin código que democratiza el poder del software para que las organizaciones puedan crear fácilmente herramientas para la gestión del trabajo y aplicaciones de software que se ajusten a sus necesidades. La plataforma conecta intuitivamente personas con procesos y sistemas, y les permite a los equipos destacarse en cada aspecto de su trabajo en un entorno de transparencia comercial. monday.com tiene oficinas en Tel Aviv, Nueva York, Denver, Londres, Varsovia, Sídney, Melbourne, San Pablo y Tokio. Se puede personalizar por completo para adaptarse a cualquier sector, y más de 225,000 clientes la usan hoy en día en 200 sectores y en más de 200 países y territorios.</w:t>
      </w:r>
    </w:p>
    <w:p w:rsidR="00000000" w:rsidDel="00000000" w:rsidP="00000000" w:rsidRDefault="00000000" w:rsidRPr="00000000" w14:paraId="00000019">
      <w:pPr>
        <w:shd w:fill="fefefe" w:val="clear"/>
        <w:spacing w:after="320" w:lineRule="auto"/>
        <w:jc w:val="both"/>
        <w:rPr>
          <w:b w:val="1"/>
          <w:sz w:val="20"/>
          <w:szCs w:val="20"/>
        </w:rPr>
      </w:pPr>
      <w:r w:rsidDel="00000000" w:rsidR="00000000" w:rsidRPr="00000000">
        <w:rPr>
          <w:sz w:val="20"/>
          <w:szCs w:val="20"/>
          <w:rtl w:val="0"/>
        </w:rPr>
        <w:t xml:space="preserve">Visítanos en nuestro </w:t>
      </w:r>
      <w:hyperlink r:id="rId10">
        <w:r w:rsidDel="00000000" w:rsidR="00000000" w:rsidRPr="00000000">
          <w:rPr>
            <w:color w:val="1155cc"/>
            <w:sz w:val="20"/>
            <w:szCs w:val="20"/>
            <w:u w:val="single"/>
            <w:rtl w:val="0"/>
          </w:rPr>
          <w:t xml:space="preserve">LinkedIn</w:t>
        </w:r>
      </w:hyperlink>
      <w:r w:rsidDel="00000000" w:rsidR="00000000" w:rsidRPr="00000000">
        <w:rPr>
          <w:sz w:val="20"/>
          <w:szCs w:val="20"/>
          <w:rtl w:val="0"/>
        </w:rPr>
        <w:t xml:space="preserve">, </w:t>
      </w:r>
      <w:hyperlink r:id="rId11">
        <w:r w:rsidDel="00000000" w:rsidR="00000000" w:rsidRPr="00000000">
          <w:rPr>
            <w:color w:val="1155cc"/>
            <w:sz w:val="20"/>
            <w:szCs w:val="20"/>
            <w:u w:val="single"/>
            <w:rtl w:val="0"/>
          </w:rPr>
          <w:t xml:space="preserve">X (anteriormente Twitter)</w:t>
        </w:r>
      </w:hyperlink>
      <w:r w:rsidDel="00000000" w:rsidR="00000000" w:rsidRPr="00000000">
        <w:rPr>
          <w:sz w:val="20"/>
          <w:szCs w:val="20"/>
          <w:rtl w:val="0"/>
        </w:rPr>
        <w:t xml:space="preserve">, </w:t>
      </w:r>
      <w:hyperlink r:id="rId12">
        <w:r w:rsidDel="00000000" w:rsidR="00000000" w:rsidRPr="00000000">
          <w:rPr>
            <w:color w:val="1155cc"/>
            <w:sz w:val="20"/>
            <w:szCs w:val="20"/>
            <w:u w:val="single"/>
            <w:rtl w:val="0"/>
          </w:rPr>
          <w:t xml:space="preserve">Instagram</w:t>
        </w:r>
      </w:hyperlink>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YouTube</w:t>
        </w:r>
      </w:hyperlink>
      <w:r w:rsidDel="00000000" w:rsidR="00000000" w:rsidRPr="00000000">
        <w:rPr>
          <w:sz w:val="20"/>
          <w:szCs w:val="20"/>
          <w:rtl w:val="0"/>
        </w:rPr>
        <w:t xml:space="preserve">, </w:t>
      </w:r>
      <w:hyperlink r:id="rId14">
        <w:r w:rsidDel="00000000" w:rsidR="00000000" w:rsidRPr="00000000">
          <w:rPr>
            <w:color w:val="1155cc"/>
            <w:sz w:val="20"/>
            <w:szCs w:val="20"/>
            <w:u w:val="single"/>
            <w:rtl w:val="0"/>
          </w:rPr>
          <w:t xml:space="preserve">TikTok</w:t>
        </w:r>
      </w:hyperlink>
      <w:r w:rsidDel="00000000" w:rsidR="00000000" w:rsidRPr="00000000">
        <w:rPr>
          <w:sz w:val="20"/>
          <w:szCs w:val="20"/>
          <w:rtl w:val="0"/>
        </w:rPr>
        <w:t xml:space="preserve"> y </w:t>
      </w:r>
      <w:hyperlink r:id="rId15">
        <w:r w:rsidDel="00000000" w:rsidR="00000000" w:rsidRPr="00000000">
          <w:rPr>
            <w:color w:val="1155cc"/>
            <w:sz w:val="20"/>
            <w:szCs w:val="20"/>
            <w:u w:val="single"/>
            <w:rtl w:val="0"/>
          </w:rPr>
          <w:t xml:space="preserve">Facebook</w:t>
        </w:r>
      </w:hyperlink>
      <w:r w:rsidDel="00000000" w:rsidR="00000000" w:rsidRPr="00000000">
        <w:rPr>
          <w:sz w:val="20"/>
          <w:szCs w:val="20"/>
          <w:rtl w:val="0"/>
        </w:rPr>
        <w:t xml:space="preserve">. Para más información sobre monday.com, visita nuestra </w:t>
      </w:r>
      <w:hyperlink r:id="rId16">
        <w:r w:rsidDel="00000000" w:rsidR="00000000" w:rsidRPr="00000000">
          <w:rPr>
            <w:color w:val="1155cc"/>
            <w:sz w:val="20"/>
            <w:szCs w:val="20"/>
            <w:u w:val="single"/>
            <w:rtl w:val="0"/>
          </w:rPr>
          <w:t xml:space="preserve">Sala de prensa</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sz w:val="20"/>
          <w:szCs w:val="20"/>
        </w:rPr>
      </w:pPr>
      <w:r w:rsidDel="00000000" w:rsidR="00000000" w:rsidRPr="00000000">
        <w:rPr>
          <w:b w:val="1"/>
          <w:sz w:val="20"/>
          <w:szCs w:val="20"/>
          <w:rtl w:val="0"/>
        </w:rPr>
        <w:t xml:space="preserve">Relaciones con analistas:</w:t>
      </w:r>
      <w:r w:rsidDel="00000000" w:rsidR="00000000" w:rsidRPr="00000000">
        <w:rPr>
          <w:sz w:val="20"/>
          <w:szCs w:val="20"/>
          <w:rtl w:val="0"/>
        </w:rPr>
        <w:br w:type="textWrapping"/>
        <w:t xml:space="preserve">Matthew Ponzecchi</w:t>
        <w:br w:type="textWrapping"/>
      </w:r>
      <w:hyperlink r:id="rId17">
        <w:r w:rsidDel="00000000" w:rsidR="00000000" w:rsidRPr="00000000">
          <w:rPr>
            <w:color w:val="1155cc"/>
            <w:sz w:val="20"/>
            <w:szCs w:val="20"/>
            <w:u w:val="single"/>
            <w:rtl w:val="0"/>
          </w:rPr>
          <w:t xml:space="preserve">matthewpo@monday.com</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sz w:val="20"/>
          <w:szCs w:val="20"/>
        </w:rPr>
      </w:pPr>
      <w:r w:rsidDel="00000000" w:rsidR="00000000" w:rsidRPr="00000000">
        <w:rPr>
          <w:rtl w:val="0"/>
        </w:rPr>
      </w:r>
    </w:p>
    <w:p w:rsidR="00000000" w:rsidDel="00000000" w:rsidP="00000000" w:rsidRDefault="00000000" w:rsidRPr="00000000" w14:paraId="0000001C">
      <w:pPr>
        <w:rPr>
          <w:b w:val="1"/>
          <w:sz w:val="20"/>
          <w:szCs w:val="20"/>
        </w:rPr>
      </w:pPr>
      <w:r w:rsidDel="00000000" w:rsidR="00000000" w:rsidRPr="00000000">
        <w:rPr>
          <w:b w:val="1"/>
          <w:sz w:val="20"/>
          <w:szCs w:val="20"/>
          <w:rtl w:val="0"/>
        </w:rPr>
        <w:t xml:space="preserve">Relaciones con los medios:</w:t>
      </w:r>
      <w:r w:rsidDel="00000000" w:rsidR="00000000" w:rsidRPr="00000000">
        <w:rPr>
          <w:sz w:val="20"/>
          <w:szCs w:val="20"/>
          <w:rtl w:val="0"/>
        </w:rPr>
        <w:br w:type="textWrapping"/>
        <w:t xml:space="preserve">Tiffani Gibson</w:t>
        <w:br w:type="textWrapping"/>
      </w:r>
      <w:hyperlink r:id="rId18">
        <w:r w:rsidDel="00000000" w:rsidR="00000000" w:rsidRPr="00000000">
          <w:rPr>
            <w:color w:val="1155cc"/>
            <w:sz w:val="20"/>
            <w:szCs w:val="20"/>
            <w:u w:val="single"/>
            <w:rtl w:val="0"/>
          </w:rPr>
          <w:t xml:space="preserve">tiffanigi@monday.com</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x.com/mondaydotcom" TargetMode="External"/><Relationship Id="rId10" Type="http://schemas.openxmlformats.org/officeDocument/2006/relationships/hyperlink" Target="https://www.linkedin.com/company/mondaydotcom/mycompany/verification/" TargetMode="External"/><Relationship Id="rId13" Type="http://schemas.openxmlformats.org/officeDocument/2006/relationships/hyperlink" Target="https://www.youtube.com/channel/UCA9UvBiKHly15rN8u_Km3BQ" TargetMode="External"/><Relationship Id="rId12" Type="http://schemas.openxmlformats.org/officeDocument/2006/relationships/hyperlink" Target="https://www.instagram.com/mondaydo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onday.com/w/gartner-mq/leader-3x" TargetMode="External"/><Relationship Id="rId15" Type="http://schemas.openxmlformats.org/officeDocument/2006/relationships/hyperlink" Target="https://www.facebook.com/mondaydotcom" TargetMode="External"/><Relationship Id="rId14" Type="http://schemas.openxmlformats.org/officeDocument/2006/relationships/hyperlink" Target="https://www.tiktok.com/@mondayinsights" TargetMode="External"/><Relationship Id="rId17" Type="http://schemas.openxmlformats.org/officeDocument/2006/relationships/hyperlink" Target="mailto:matthewpo@monday.com" TargetMode="External"/><Relationship Id="rId16" Type="http://schemas.openxmlformats.org/officeDocument/2006/relationships/hyperlink" Target="https://monday.com/p/news/press-kit/" TargetMode="External"/><Relationship Id="rId5" Type="http://schemas.openxmlformats.org/officeDocument/2006/relationships/styles" Target="styles.xml"/><Relationship Id="rId6" Type="http://schemas.openxmlformats.org/officeDocument/2006/relationships/hyperlink" Target="http://monday.com" TargetMode="External"/><Relationship Id="rId18" Type="http://schemas.openxmlformats.org/officeDocument/2006/relationships/hyperlink" Target="mailto:tiffanigi@monday.com" TargetMode="External"/><Relationship Id="rId7" Type="http://schemas.openxmlformats.org/officeDocument/2006/relationships/hyperlink" Target="https://www.businesswire.com/news/home/20240910745440/en/monday.com-Named-a-2024-Gartner%C2%AE-Magic-Quadrant%E2%84%A2-Leader-for-Adaptive-Project-Management-and-Reporting" TargetMode="External"/><Relationship Id="rId8" Type="http://schemas.openxmlformats.org/officeDocument/2006/relationships/hyperlink" Target="https://www.businesswire.com/news/home/20241205656425/en/monday.com-Named-a-2024-Gartner%C2%AE-Magic-Quadrant%E2%84%A2-Leader-for-Collaborative-Work-Management?_gl=1*19fzj5x*_gcl_au*ODMyNTA4MzU4LjE3MzEzMjY4OTYuNTk0NTUwMTQuMTczMzQwNjAwOC4xNzMzNDA2MDMz*_ga*ODY0MzMyODAxLjE3MzEzMjY4OTc.*_ga_ZQWF70T3FK*MTczMzQwNTk0Ny40LjEuMTczMzQxNjA1MC40Ny4wL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